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习近平总书记关于意识形态工作的重要论述选摘</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bookmarkStart w:id="0" w:name="_GoBack"/>
      <w:bookmarkEnd w:id="0"/>
      <w:r>
        <w:rPr>
          <w:rFonts w:hint="eastAsia" w:ascii="仿宋" w:hAnsi="仿宋" w:eastAsia="仿宋" w:cs="仿宋"/>
          <w:color w:val="auto"/>
          <w:sz w:val="30"/>
          <w:szCs w:val="30"/>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——习近平在中央党校（国家行政学院）中青年干部培训班开班式上发表重要讲话，2022年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——《中共中央关于党的百年奋斗重大成就和历史经验的决议》</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2021年</w:t>
      </w:r>
    </w:p>
    <w:p>
      <w:pPr>
        <w:keepNext w:val="0"/>
        <w:keepLines w:val="0"/>
        <w:pageBreakBefore w:val="0"/>
        <w:kinsoku/>
        <w:wordWrap/>
        <w:overflowPunct/>
        <w:topLinePunct w:val="0"/>
        <w:autoSpaceDE/>
        <w:autoSpaceDN/>
        <w:bidi w:val="0"/>
        <w:adjustRightInd w:val="0"/>
        <w:snapToGrid w:val="0"/>
        <w:spacing w:line="500" w:lineRule="exact"/>
        <w:ind w:firstLine="600" w:firstLineChars="200"/>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会议强调，必须坚持把政治安全放在首要位置，统筹做好政治安全、经济安全、社会安全、科技安全、新型领域安全等重点领域、重点地区、重点方向国家安全工作。要坚定维护国家政权安全、制度安全、意识形态安全，严密防范和坚决打击各种渗透颠覆破坏活动。要增强产业韧性和抗冲击能力，筑牢防范系统性金融风险安全底线，确保粮食安全、能源矿产安全、重要基础设施安全，加强海外利益安全保护。要强化科技自立自强作为国家安全和发展的战略支撑作用。要积极维护社会安全稳定，从源头上预防和减少社会矛盾，防范遏制重特大安全生产事故，提高食品药品等关系人民健康产品和服务的安全保障水平。要持续做好新冠肺炎疫情防控，加快提升生物安全、网络安全、数据安全、人工智能安全等领域的治理能力。要积极营造良好外部环境，坚持独立自主，在国家核心利益、民族尊严问题上决不退让，坚决维护国家主权、安全、发展利益；树立共同、综合、合作、可持续的全球安全观，加强安全领域合作，维护全球战略稳定，携手应对全球性挑战，推动构建人类命运共同体。要全面提升国家安全能力，更加注重协同高效，更加注重法治思维，更加注重科技赋能，更加注重基层基础。要坚持以政治建设为统领，打造坚强的国家安全干部队伍。要加强国家安全意识教育，自觉推进发展和安全深度融合。</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——中共中央政治局召开会议审议《国家安全战略（二〇二一—二〇二五年）》《军队功勋荣誉表彰条例》和《国家科技咨询委员会二〇二一年咨询报告》 中共中央总书记习近平主持会议，2021年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bCs/>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right"/>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rPr>
        <w:t>——习近平总书记在中央民族工作会议上发表重要讲话，2021年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必须毫不动摇坚持和加强党对高校的全面领导，不断加强和改进高校党的建设，推动高校党建与高等教育事业发展深度融合，确保党的教育政策和党中央重大决策部署在高校有效贯彻落实。要严格落实意识形态工作责任制，配齐建强高校党务工作和思想政治工作队伍，做好高校思想政治工作，推动党的创新理论进教材进课堂进头脑，深入培育和践行社会主义核心价值观。要全面增强高校基层党组织生机活力，发挥好师生党员先锋模范作用。</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各级党委（党组）要切实履行主体责任，汇聚形成关心、支持、推动高校党建工作的强大合力，构建高质量的高校党建工作体系，引领推动高校高质量发展，切实把培养德智体美劳全面发展的社会主义建设者和接班人的使命任务落实好。高校基层党组织要以庆祝中国共产党成立100周年为契机，认真开展党史学习教育，巩固深化“不忘初心、牢记使命”主题教育成果，更好学习贯彻习近平新时代中国特色社会主义思想。</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——中共中央政治局召开会议 讨论“十四五”规划和二〇三五年远景目标纲要草案和政府工作报告 审议《中国共产党普通高等学校基层组织工作条例》 中共中央总书记习近平主持会议，2021年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识形态阵地的管理，敢抓敢管、敢于亮剑，牢牢掌握意识形态工作主动权。</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righ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——习近平《论党的宣传思想工作》，2020年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shd w:val="clear" w:color="auto" w:fill="FFFFFF"/>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——习近平总书记主持召开学校思想政治理论课教师座谈会并发表重要讲话，2019年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562" w:firstLineChars="200"/>
        <w:jc w:val="both"/>
        <w:textAlignment w:val="auto"/>
        <w:rPr>
          <w:rFonts w:hint="eastAsia" w:ascii="仿宋" w:hAnsi="仿宋" w:eastAsia="仿宋" w:cs="仿宋"/>
          <w:b/>
          <w:bCs/>
          <w:color w:val="auto"/>
          <w:sz w:val="28"/>
          <w:szCs w:val="28"/>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我多次说过，没有网络安全就没有国家安全；过不了互联网这一关，就过不了长期执政这一关。全媒体不断发展，出现了全程媒体、全息媒体、全员媒体、全效媒体，信息无处不在、无所不及、无人不用，导致舆论生态、媒体格局、传播方式发生深刻变化，新闻舆论工作面临新的挑战。</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在哪儿，宣传思想工作的重点就在哪儿，网络空间已经成为人们生产生活的新空间，那就也应该成为我们党凝聚共识的新空间。移动互联网已经成为信息传播主渠道。随着5G、大数据、云计算、物联网、人工智能等技术不断发展，移动媒体将进入加速发展新阶段。要坚持移动优先策略，建设好自己的移动传播平台，管好用好商业化、社会化的互联网平台，让主流媒体借助移动传播，牢牢占据舆论引导、思想引领、文化传承、服务人民的传播制高点。</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——中共中央政治局在人民日报社就全媒体时代和媒体融合发展举行第十二次集体学习，中共中央总书记习近平主持学习并发表重要讲话，2019</w:t>
      </w:r>
      <w:r>
        <w:rPr>
          <w:rFonts w:hint="eastAsia" w:ascii="仿宋" w:hAnsi="仿宋" w:eastAsia="仿宋" w:cs="仿宋"/>
          <w:b/>
          <w:bCs/>
          <w:color w:val="auto"/>
          <w:sz w:val="30"/>
          <w:szCs w:val="30"/>
          <w:lang w:val="en-US" w:eastAsia="zh-CN"/>
        </w:rPr>
        <w:t>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——习近平在中央党校（国家行政学院）中青年干部培训班开班式上发表重要讲话，2019年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w:t>
      </w:r>
      <w:r>
        <w:rPr>
          <w:rFonts w:hint="eastAsia" w:ascii="仿宋" w:hAnsi="仿宋" w:eastAsia="仿宋" w:cs="仿宋"/>
          <w:color w:val="auto"/>
          <w:sz w:val="30"/>
          <w:szCs w:val="30"/>
          <w:shd w:val="clear" w:color="auto" w:fill="FFFFFF"/>
        </w:rPr>
        <w:t>做到任务落实不马虎、阵地管理不懈怠、责任追究不含糊。</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02" w:firstLineChars="200"/>
        <w:jc w:val="righ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——习近平全国宣传思想工作会议上的讲话，2018年</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rPr>
      </w:pPr>
    </w:p>
    <w:sectPr>
      <w:footerReference r:id="rId3" w:type="default"/>
      <w:pgSz w:w="11906" w:h="16838"/>
      <w:pgMar w:top="1474" w:right="1417"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24393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7B"/>
    <w:rsid w:val="002110DB"/>
    <w:rsid w:val="00235902"/>
    <w:rsid w:val="002C43A9"/>
    <w:rsid w:val="002E699C"/>
    <w:rsid w:val="002F3EC9"/>
    <w:rsid w:val="00364976"/>
    <w:rsid w:val="005A6E90"/>
    <w:rsid w:val="005D4B7E"/>
    <w:rsid w:val="005F1915"/>
    <w:rsid w:val="00707006"/>
    <w:rsid w:val="00850B7B"/>
    <w:rsid w:val="00924C0D"/>
    <w:rsid w:val="0092520F"/>
    <w:rsid w:val="00B10BD7"/>
    <w:rsid w:val="00B813B1"/>
    <w:rsid w:val="00C847AC"/>
    <w:rsid w:val="00D072DA"/>
    <w:rsid w:val="00D868DA"/>
    <w:rsid w:val="00DE1533"/>
    <w:rsid w:val="00DE7629"/>
    <w:rsid w:val="200313C7"/>
    <w:rsid w:val="32432DA9"/>
    <w:rsid w:val="450468CF"/>
    <w:rsid w:val="51777B21"/>
    <w:rsid w:val="666D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824</Words>
  <Characters>4702</Characters>
  <Lines>39</Lines>
  <Paragraphs>11</Paragraphs>
  <TotalTime>22</TotalTime>
  <ScaleCrop>false</ScaleCrop>
  <LinksUpToDate>false</LinksUpToDate>
  <CharactersWithSpaces>5515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2022-03-10T07:14:00Z</dcterms:created>
  <dc:creator>123</dc:creator>
  <cp:lastModifiedBy>月下莹子</cp:lastModifiedBy>
  <cp:lastPrinted>2022-03-14T06:43:50Z</cp:lastPrinted>
  <dcterms:modified xsi:type="dcterms:W3CDTF">2022-03-14T06:52:20Z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19F940A2C62C4314B5DFD372240F2216</vt:lpwstr>
  </property>
</Properties>
</file>